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b/>
          <w:color w:val="1a1a1a"/>
          <w:sz w:val="24"/>
        </w:rPr>
        <w:t xml:space="preserve">Актуальность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1a1a1a"/>
          <w:sz w:val="24"/>
        </w:rPr>
        <w:t xml:space="preserve">Несмотря на высокий уровень развития методов диагностики и лечения, широкие возможности производства индивидуальных медицинских изделий, проблема лечения пациентов с дефектами нижней челюсти остаётся актуальной вследствие широкого распространения данной па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тологии, её социальной значимости, а также отсутствия чётких алгоритмов реабилитации этой группы больных.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b/>
          <w:color w:val="1a1a1a"/>
          <w:sz w:val="24"/>
        </w:rPr>
        <w:t xml:space="preserve">Цель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1a1a1a"/>
          <w:sz w:val="24"/>
        </w:rPr>
        <w:t xml:space="preserve">Анализ результатов лечения пациентов с врождёнными и приобретёнными одно- или двусторонними дефектами нижней челюсти и анкилозирующими поражениями виcочно-нижнечелюстного сустава.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b/>
          <w:color w:val="1a1a1a"/>
          <w:sz w:val="24"/>
        </w:rPr>
        <w:t xml:space="preserve">Материалы и методы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1a1a1a"/>
          <w:sz w:val="24"/>
        </w:rPr>
        <w:t xml:space="preserve">В отделении челюстно-лицевой хирургии ДГКБ св. Владимира проведено лечение 73 пациентов с одно- или двухсторонними дефектами ветви нижней челюсти и анкилозирующими поражениями виcочно-нижнечелюстного сустава в возрасте от 4 месяцев до 18 лет. Среди них: 37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 больных с анкилозирующими поражениями виcочно-нижнечелюстного сустава, 18 - с приобретёнными дефектами нижней челюсти, 18 – с врождёнными дефектами. Алгоритм обследования включал в себя антропометрическое обследование, фото- и видеорегистрацию пациентов, 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анализ гипсовых моделей челюстей, мультиспиральную компьютерную томографию лицевого скелета, фиброларингоскопию.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1a1a1a"/>
          <w:sz w:val="24"/>
        </w:rPr>
        <w:t xml:space="preserve">После стандартного обследования и планирования хирургического лечения всем детям проводилась артропластика височно-нижнечелюстного сустава при помощи стандартных и индивидуальных конструкций, костных аутотрансплантатов. При наличии анкилозирующего поражени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я удаление анкилозирующего блока выполнялось одномоментно с артропластикой. 9 пациентам выполнена артропластика при помощи костного аутотрансплантата из венечного отростка, 26 больным установлены стандартные эндопротезы мыщелкового отростка из титана и кар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бопола, 38 детям - индивидуальные эндопротезы мыщелкового отростка из титана и суставные ямки из высокомолекулярного полиэтилена, 4 – индивидуальные титановые эндопротезы мыщелкового отростка и комбинированные суставные ямки (титановое основание, суставная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 ямка из высокомолекулярного полиэтилена). Детям с индивидуальными конструкциями разработка эндопротезов и планирование операции выполнялись виртуально при помощи программного комплекса Materialise и программы SolidWorks совместно с инженерами компании КОН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МЕТ. Оперативные вмешательства проводились по жизненным показаниям (наличие синдрома обструктивного апноэ), функциональным (ограничение открывания рта, патология соотношения челюстей и прикуса) и эстетическим (асимметрия лица). Оперативное вмешательство во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 всех случаях проводилось под комбинированным эндотрахеальным наркозом. При ограничении открывания рта интубация трахеи выполнялась по фиброскопу. Экстубация таких пациентов проводилась в послеоперационном периоде в условиях отделения реанимации и интенсив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ной терапии после полного пробуждения. Установка эндопротезов осуществлялась из комбинированного поднижнечелюстного и предушного хирургических доступов (последний выполнялся при установке эндопротеза суставной ямки). В послеоперационном периоде проводилась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 антибактериальная терапия антибиотиками широкого спектра действия. При наличии ограничения открывания рта механотерапия начиналась на 7-10 сутки после операции. Контрольные обследования, включающие в себя клинический осмотр с фоторегистрацией и компьютерн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ую томографию, проводились перед выпиской, затем – через 1, 3, 6 месяцев после операции и далее – 1 раз в год. При выявлении недоразвития нижней челюсти на контрольных обследованиях выполняли его устранение при помощи компрессионно-дистракционного остеосин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теза (КДО) не ранее, чем через 6 месяцев после артропластики.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b/>
          <w:color w:val="1a1a1a"/>
          <w:sz w:val="24"/>
        </w:rPr>
        <w:t xml:space="preserve">Результаты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1a1a1a"/>
          <w:sz w:val="24"/>
        </w:rPr>
        <w:t xml:space="preserve">Во всех случаях операционные раны заживали первичным натяжением, ранний послеоперационный период протекал без воспалительных осложнений.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1a1a1a"/>
          <w:sz w:val="24"/>
        </w:rPr>
        <w:t xml:space="preserve">У 10% детей (7 человек) при выполнении поднижнечелюстного доступа и у 15% детей (11 человек) при выполнении предушного доступа отмечался преходящий парез мимической мускулатуры на стороне операции. В течение 6 месяцев после операции у 5 детей развился восп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алительный процесс, потребовавший ревизии операционной раны и замены установленных конструкций. У 2 детей воспаление развилось в следствие осложнений перенесённого ОРВИ, у 3 - вследствие нарушения фиксации установленных конструкций. У всех детей с анкилози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рующими поражениями височно-нижнечелюстных суставов после артропластики по мере роста лицевого скелета сформировалось недоразвитие нижней челюсти на стороне поражения, что потребовало в ряде случаев проведения КДО. При установке стандартных эндопротезов, н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аличие фиксирующих элементов в области ветви нижней челюсти требовало удаления эндопротезов для проведения КДО. Во всех случаях использования костных аутотрансплантатов отмечалось их полное рассасывание, что вызывало необходимость проведения повторной артр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опластики с использованием индивидуальных эндопротезов. У 1 пациента со стандартным эндопротезом из карбопола без протеза суставной ямки произошла постепенная миграция установленной конструкции в среднюю черепную ямку, что было выявлено на контрольном осмо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тре через 2 года после первичной операции. Рецидив анкилоза был отмечен у 2 пациентов при использовании стандартных конструкций, за счёт разрастания костной ткани вокруг эндопротезов как со стороны нижней челюсти, так и со стороны суставной ямки.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b/>
          <w:color w:val="1a1a1a"/>
          <w:sz w:val="24"/>
        </w:rPr>
        <w:t xml:space="preserve">Выводы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1a1a1a"/>
          <w:sz w:val="24"/>
        </w:rPr>
        <w:t xml:space="preserve">Вне зависимости от выбора артропластики при анкилозе височно-нижнечелюстного сустава у пациентов детского возраста формировалось недоразвитие нижней челюсти. Отсутствие своевременного устранения последнего неизбежно приводит к формированию вторичных деформ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аций лицевого скелета, развитию функциональных и косметических нарушений, социальной дезадаптации. При реабилитации пациентов с дефектами нижней челюсти и анкилозирующими поражениями виcочно-нижнечелюстного сустава предпочтительно использование индивидуаль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ных конструкций, что значительно снижает риск и вероятность развития анкилоза височно-нижнечелюстного сустава, обеспечивает получение стойкого функционально-косметического результата и уменьшает количество этапов хирургического лечения. При разработке конс</w:t>
      </w:r>
      <w:r>
        <w:rPr>
          <w:rFonts w:ascii="Liberation Sans" w:hAnsi="Liberation Sans" w:eastAsia="Liberation Sans" w:cs="Liberation Sans"/>
          <w:color w:val="1a1a1a"/>
          <w:sz w:val="24"/>
        </w:rPr>
        <w:t xml:space="preserve">трукций индивидуальных эндопротезов для артропластики височно-нижнечелюстного сустава необходимо учитывать необходимость последующего проведения КДО.</w:t>
      </w:r>
      <w:r/>
      <w:r>
        <w:rPr>
          <w:sz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Мария Григорьева</cp:lastModifiedBy>
  <cp:revision>1</cp:revision>
  <dcterms:modified xsi:type="dcterms:W3CDTF">2023-05-16T09:29:10Z</dcterms:modified>
</cp:coreProperties>
</file>